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Maple Street Community Garden</w:t>
      </w:r>
    </w:p>
    <w:p>
      <w:pPr>
        <w:pStyle w:val="Subtitle"/>
      </w:pPr>
      <w:r>
        <w:t xml:space="preserve">A practical plan for a shared neighborhood growing space</w:t>
      </w:r>
    </w:p>
    <w:p>
      <w:pPr>
        <w:pStyle w:val="Normal"/>
      </w:pPr>
      <w:r>
        <w:rPr>
          <w:b/>
        </w:rPr>
        <w:t xml:space="preserve">DRAFT PLAN  •  SPRING–FALL 2027  •  24 HOUSEHOLDS</w:t>
      </w:r>
    </w:p>
    <w:p>
      <w:pPr>
        <w:pStyle w:val="Heading1"/>
      </w:pPr>
      <w:r>
        <w:t xml:space="preserve">A small plot with a big purpose</w:t>
      </w:r>
    </w:p>
    <w:p>
      <w:pPr>
        <w:pStyle w:val="Normal"/>
      </w:pPr>
      <w:r>
        <w:t xml:space="preserve">The Maple Street Community Garden will turn an underused corner lot into a welcoming place to grow food, share skills, and spend time outdoors. The first season is intentionally modest: twelve raised beds, a communal herb border, accessible paths, and a shaded gathering table.</w:t>
      </w:r>
    </w:p>
    <w:p>
      <w:pPr>
        <w:pStyle w:val="Heading2"/>
      </w:pPr>
      <w:r>
        <w:t xml:space="preserve">What success looks like</w:t>
      </w:r>
    </w:p>
    <w:p>
      <w:pPr>
        <w:ind w:left="420" w:hanging="220"/>
      </w:pPr>
      <w:r>
        <w:t>•  Twelve productive plots assigned through a transparent neighborhood lottery.</w:t>
      </w:r>
    </w:p>
    <w:p>
      <w:pPr>
        <w:ind w:left="420" w:hanging="220"/>
      </w:pPr>
      <w:r>
        <w:t>•  At least four free workshops led by local gardeners and cooks.</w:t>
      </w:r>
    </w:p>
    <w:p>
      <w:pPr>
        <w:ind w:left="420" w:hanging="220"/>
      </w:pPr>
      <w:r>
        <w:t>•  A shared harvest shelf stocked weekly during peak season.</w:t>
      </w:r>
    </w:p>
    <w:p>
      <w:pPr>
        <w:ind w:left="420" w:hanging="220"/>
      </w:pPr>
      <w:r>
        <w:t>•  A clean, safe site maintained through rotating volunteer teams.</w:t>
      </w:r>
    </w:p>
    <w:p>
      <w:pPr>
        <w:pStyle w:val="Heading1"/>
      </w:pPr>
      <w:r>
        <w:t xml:space="preserve">Season plan</w:t>
      </w:r>
    </w:p>
    <w:tbl>
      <w:tblPr>
        <w:tblStyle w:val="TableGrid"/>
        <w:tblW w:w="8800" w:type="dxa"/>
        <w:tblInd w:w="0" w:type="dxa"/>
      </w:tblPr>
      <w:tblGrid>
        <w:gridCol w:w="1600"/>
        <w:gridCol w:w="1900"/>
        <w:gridCol w:w="3800"/>
        <w:gridCol w:w="1500"/>
      </w:tblGrid>
      <w:t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shd w:fill="DCE8E3"/>
          </w:tcPr>
          <w:p>
            <w:pPr>
              <w:pStyle w:val="Normal"/>
            </w:pPr>
            <w:r>
              <w:rPr>
                <w:b/>
              </w:rPr>
              <w:t xml:space="preserve">Phase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shd w:fill="DCE8E3"/>
          </w:tcPr>
          <w:p>
            <w:pPr>
              <w:pStyle w:val="Normal"/>
            </w:pPr>
            <w:r>
              <w:rPr>
                <w:b/>
              </w:rPr>
              <w:t xml:space="preserve">Timing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shd w:fill="DCE8E3"/>
          </w:tcPr>
          <w:p>
            <w:pPr>
              <w:pStyle w:val="Normal"/>
            </w:pPr>
            <w:r>
              <w:rPr>
                <w:b/>
              </w:rPr>
              <w:t xml:space="preserve">Primary work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shd w:fill="DCE8E3"/>
          </w:tcPr>
          <w:p>
            <w:pPr>
              <w:pStyle w:val="Normal"/>
            </w:pPr>
            <w:r>
              <w:rPr>
                <w:b/>
              </w:rPr>
              <w:t xml:space="preserve">Lead</w:t>
            </w:r>
          </w:p>
        </w:tc>
      </w:tr>
      <w:t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Prepare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March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Soil testing, permits, bed assembly, water connection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Site team</w:t>
            </w:r>
          </w:p>
        </w:tc>
      </w:tr>
      <w:t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Plant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April–May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Plot orientation, cool-season crops, herb border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Grow team</w:t>
            </w:r>
          </w:p>
        </w:tc>
      </w:tr>
      <w:t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Tend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June–August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Watering rotations, workshops, shared harvest shelf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Members</w:t>
            </w:r>
          </w:p>
        </w:tc>
      </w:tr>
      <w:t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Close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September–October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Final harvest, compost, repairs, season review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Stewards</w:t>
            </w:r>
          </w:p>
        </w:tc>
      </w:tr>
    </w:tbl>
    <w:p>
      <w:pPr>
        <w:pStyle w:val="Heading1"/>
      </w:pPr>
      <w:r>
        <w:t xml:space="preserve">Budget snapshot</w:t>
      </w:r>
    </w:p>
    <w:tbl>
      <w:tblPr>
        <w:tblStyle w:val="TableGrid"/>
        <w:tblW w:w="8800" w:type="dxa"/>
        <w:tblInd w:w="0" w:type="dxa"/>
      </w:tblPr>
      <w:tblGrid>
        <w:gridCol w:w="1600"/>
        <w:gridCol w:w="1900"/>
        <w:gridCol w:w="3800"/>
        <w:gridCol w:w="1500"/>
      </w:tblGrid>
      <w:t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shd w:fill="DCE8E3"/>
          </w:tcPr>
          <w:p>
            <w:pPr>
              <w:pStyle w:val="Normal"/>
            </w:pPr>
            <w:r>
              <w:rPr>
                <w:b/>
              </w:rPr>
              <w:t xml:space="preserve">Item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shd w:fill="DCE8E3"/>
          </w:tcPr>
          <w:p>
            <w:pPr>
              <w:pStyle w:val="Normal"/>
            </w:pPr>
            <w:r>
              <w:rPr>
                <w:b/>
              </w:rPr>
              <w:t xml:space="preserve">Estimate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shd w:fill="DCE8E3"/>
          </w:tcPr>
          <w:p>
            <w:pPr>
              <w:pStyle w:val="Normal"/>
            </w:pPr>
            <w:r>
              <w:rPr>
                <w:b/>
              </w:rPr>
              <w:t xml:space="preserve">Notes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shd w:fill="DCE8E3"/>
          </w:tcPr>
          <w:p>
            <w:pPr>
              <w:pStyle w:val="Normal"/>
            </w:pPr>
            <w:r>
              <w:rPr>
                <w:b/>
              </w:rPr>
              <w:t xml:space="preserve"/>
            </w:r>
          </w:p>
        </w:tc>
      </w:tr>
      <w:t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Raised-bed materials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$2,400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Twelve cedar beds with hardware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Soil and compost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$1,350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Initial fill plus midseason amendment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Water and tools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$1,100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Hose system, hand tools, locked storage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Access and seating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$950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>Path surfacing and one shared table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Heading1"/>
      </w:pPr>
      <w:r>
        <w:t xml:space="preserve">First decisions</w:t>
      </w:r>
    </w:p>
    <w:p>
      <w:pPr>
        <w:pStyle w:val="Normal"/>
      </w:pPr>
      <w:r>
        <w:t xml:space="preserve">1. Confirm the lot-use agreement and water access.</w:t>
      </w:r>
    </w:p>
    <w:p>
      <w:pPr>
        <w:pStyle w:val="Normal"/>
      </w:pPr>
      <w:r>
        <w:t xml:space="preserve">2. Approve the initial $5,800 materials budget.</w:t>
      </w:r>
    </w:p>
    <w:p>
      <w:pPr>
        <w:pStyle w:val="Normal"/>
      </w:pPr>
      <w:r>
        <w:t xml:space="preserve">3. Recruit six volunteer stewards before construction weekend.</w:t>
      </w:r>
    </w:p>
    <w:p>
      <w:pPr>
        <w:pStyle w:val="Normal"/>
      </w:pPr>
      <w:r>
        <w:rPr>
          <w:b/>
        </w:rPr>
        <w:t xml:space="preserve">Design principle: make the garden easy to join, easy to maintain, and generous to the wider neighborhood.</w:t>
      </w:r>
    </w:p>
    <w:sectPr>
      <w:footerReference w:type="default" r:id="rId2"/>
      <w:pgSz w:w="12240" w:h="15840"/>
      <w:pgMar w:top="1152" w:right="1296" w:bottom="1152" w:left="1296" w:header="720" w:footer="720"/>
    </w:sectPr>
  </w:body>
</w:document>
</file>

<file path=word/footer1.xml><?xml version="1.0" encoding="utf-8"?>
<w:ftr xmlns:w="http://schemas.openxmlformats.org/wordprocessingml/2006/main">
  <w:p>
    <w:pPr>
      <w:pStyle w:val="Normal"/>
    </w:pPr>
    <w:r>
      <w:t xml:space="preserve">Maple Street Community Garden  |  Synthetic sample for Document Sprinkles</w:t>
    </w:r>
  </w:p>
</w:ftr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1"/>
      </w:rPr>
    </w:rPrDefault>
    <w:pPrDefault>
      <w:pPr>
        <w:spacing w:after="10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rFonts w:ascii="Aptos Display" w:hAnsi="Aptos Display"/>
      <w:color w:val="2D363B"/>
      <w:sz w:val="56"/>
    </w:rPr>
  </w:style>
  <w:style w:type="paragraph" w:styleId="Subtitle">
    <w:name w:val="Subtitle"/>
    <w:basedOn w:val="Normal"/>
    <w:rPr>
      <w:color w:val="5B6266"/>
      <w:sz w:val="24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rFonts w:ascii="Aptos Display" w:hAnsi="Aptos Display"/>
      <w:b/>
      <w:color w:val="376D62"/>
      <w:sz w:val="36"/>
    </w:rPr>
  </w:style>
  <w:style w:type="paragraph" w:styleId="Heading2">
    <w:name w:val="heading 2"/>
    <w:basedOn w:val="Normal"/>
    <w:next w:val="Normal"/>
    <w:qFormat/>
    <w:pPr>
      <w:keepNext/>
      <w:spacing w:before="220" w:after="70"/>
      <w:outlineLvl w:val="1"/>
    </w:pPr>
    <w:rPr>
      <w:b/>
      <w:color w:val="2D363B"/>
      <w:sz w:val="26"/>
    </w:rPr>
  </w:style>
  <w:style w:type="table" w:styleId="TableGrid">
    <w:name w:val="Table Grid"/>
    <w:tblPr>
      <w:tblBorders>
        <w:top w:val="single" w:sz="4" w:color="B7B7B7"/>
        <w:left w:val="single" w:sz="4" w:color="B7B7B7"/>
        <w:bottom w:val="single" w:sz="4" w:color="B7B7B7"/>
        <w:right w:val="single" w:sz="4" w:color="B7B7B7"/>
        <w:insideH w:val="single" w:sz="2" w:color="D9D9D9"/>
        <w:insideV w:val="single" w:sz="2" w:color="D9D9D9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Document Sprinkles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Maple Street Community Garden Plan</dc:title>
  <dc:creator>Document Sprinkles</dc:creator>
  <dc:subject>Synthetic sample</dc:subject>
</cp:coreProperties>
</file>